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7"/>
        <w:ind w:left="0" w:right="0" w:firstLine="0"/>
        <w:jc w:val="both"/>
        <w:spacing w:before="281" w:after="281"/>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rPr>
        <w:t xml:space="preserve">Analiza kretanja broja učenika osnovnih škola i broja upisanih u 1. razred osnovne škole za opštinu Priboj</w:t>
      </w:r>
      <w:r>
        <w:tab/>
      </w:r>
      <w:r>
        <w:rPr>
          <w:rFonts w:ascii="Times New Roman" w:hAnsi="Times New Roman" w:eastAsia="Times New Roman" w:cs="Times New Roman"/>
          <w:b/>
          <w:bCs/>
          <w:color w:val="000000"/>
          <w:sz w:val="28"/>
          <w:szCs w:val="28"/>
          <w:highlight w:val="none"/>
        </w:rPr>
      </w:r>
      <w:r/>
    </w:p>
    <w:p>
      <w:pPr>
        <w:ind w:left="0" w:right="0" w:firstLine="0"/>
        <w:jc w:val="both"/>
        <w:spacing w:before="240" w:after="24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Analiza kretanja broja učenika osnovnih škola i učenika 1. razreda ključna je za razumevanje demografskih i obrazovnih trendova u opštini Priboj. Ova analiza pruža uvid u posledice migracija, nataliteta i socio-ekonomskih faktora na obrazovni sistem. Fokus</w:t>
      </w:r>
      <w:r>
        <w:rPr>
          <w:rFonts w:ascii="Times New Roman" w:hAnsi="Times New Roman" w:eastAsia="Times New Roman" w:cs="Times New Roman"/>
          <w:color w:val="000000"/>
          <w:sz w:val="24"/>
        </w:rPr>
        <w:t xml:space="preserve"> je na dugoročnim promenama u periodu od školske 2014/15 do 2023/24 godine, sa projekcijama za 2031. i 2041. godinu, koje mogu poslužiti kao osnova za planiranje i unapređenje lokalnih obrazovnih i demografskih politika.</w:t>
      </w:r>
      <w:r/>
      <w:r/>
    </w:p>
    <w:p>
      <w:pPr>
        <w:pStyle w:val="17"/>
        <w:ind w:left="0" w:right="0" w:firstLine="0"/>
        <w:jc w:val="both"/>
        <w:spacing w:before="281" w:after="281"/>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rPr>
        <w:t xml:space="preserve">Tabela sa vrednostima po godinama za Priboj</w:t>
      </w:r>
      <w:r/>
      <w:r/>
    </w:p>
    <w:tbl>
      <w:tblPr>
        <w:tblStyle w:val="48"/>
        <w:tblW w:w="0" w:type="auto"/>
        <w:jc w:val="center"/>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1560"/>
        <w:gridCol w:w="2190"/>
        <w:gridCol w:w="2430"/>
      </w:tblGrid>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560"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Školska godina</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190"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Ukupan broj učenika</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430"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Broj učenika 1. razreda</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560"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2014/15</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19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1.824</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43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169</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560"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2015/16</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19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1.764</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43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182</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560"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2016/17</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19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1.680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43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167</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560"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2017/18</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19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1.563</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43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149</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560"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2018/19</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19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1.447</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43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139</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560"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2019/20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19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1.366</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43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166</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560"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2020/21</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19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1.285</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43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151</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560"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2021/22</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19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1.234</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43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145</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560"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2022/23</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19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1.232</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43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166</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560"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2023/24</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19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1.221</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43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153</w:t>
            </w:r>
            <w:r/>
            <w:r/>
          </w:p>
        </w:tc>
      </w:tr>
    </w:tbl>
    <w:p>
      <w:pPr>
        <w:pStyle w:val="17"/>
        <w:ind w:left="0" w:right="0" w:firstLine="0"/>
        <w:jc w:val="both"/>
        <w:spacing w:before="281" w:after="281"/>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rPr>
        <w:t xml:space="preserve">Komentari na tabelu</w:t>
      </w:r>
      <w:r/>
      <w:r/>
    </w:p>
    <w:p>
      <w:pPr>
        <w:pStyle w:val="19"/>
        <w:ind w:left="0" w:right="0" w:firstLine="0"/>
        <w:jc w:val="both"/>
        <w:spacing w:before="319" w:after="319"/>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1. Ukupan broj učenika (2014/15–2023/24):</w:t>
      </w:r>
      <w:r/>
      <w:r/>
    </w:p>
    <w:p>
      <w:pPr>
        <w:pStyle w:val="605"/>
        <w:numPr>
          <w:ilvl w:val="0"/>
          <w:numId w:val="43"/>
        </w:numPr>
        <w:ind w:right="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Ukupan broj učenika opao je sa </w:t>
      </w:r>
      <w:r>
        <w:rPr>
          <w:rFonts w:ascii="Times New Roman" w:hAnsi="Times New Roman" w:eastAsia="Times New Roman" w:cs="Times New Roman"/>
          <w:b/>
          <w:color w:val="000000"/>
          <w:sz w:val="24"/>
        </w:rPr>
        <w:t xml:space="preserve">1.824 (2014/15)</w:t>
      </w:r>
      <w:r>
        <w:rPr>
          <w:rFonts w:ascii="Times New Roman" w:hAnsi="Times New Roman" w:eastAsia="Times New Roman" w:cs="Times New Roman"/>
          <w:color w:val="000000"/>
          <w:sz w:val="24"/>
        </w:rPr>
        <w:t xml:space="preserve"> na </w:t>
      </w:r>
      <w:r>
        <w:rPr>
          <w:rFonts w:ascii="Times New Roman" w:hAnsi="Times New Roman" w:eastAsia="Times New Roman" w:cs="Times New Roman"/>
          <w:b/>
          <w:color w:val="000000"/>
          <w:sz w:val="24"/>
        </w:rPr>
        <w:t xml:space="preserve">1.221 (2023/24)</w:t>
      </w:r>
      <w:r>
        <w:rPr>
          <w:rFonts w:ascii="Times New Roman" w:hAnsi="Times New Roman" w:eastAsia="Times New Roman" w:cs="Times New Roman"/>
          <w:color w:val="000000"/>
          <w:sz w:val="24"/>
        </w:rPr>
        <w:t xml:space="preserve">, što predstavlja smanjenje od </w:t>
      </w:r>
      <w:r>
        <w:rPr>
          <w:rFonts w:ascii="Times New Roman" w:hAnsi="Times New Roman" w:eastAsia="Times New Roman" w:cs="Times New Roman"/>
          <w:b/>
          <w:color w:val="000000"/>
          <w:sz w:val="24"/>
        </w:rPr>
        <w:t xml:space="preserve">603 učenika</w:t>
      </w:r>
      <w:r>
        <w:rPr>
          <w:rFonts w:ascii="Times New Roman" w:hAnsi="Times New Roman" w:eastAsia="Times New Roman" w:cs="Times New Roman"/>
          <w:color w:val="000000"/>
          <w:sz w:val="24"/>
        </w:rPr>
        <w:t xml:space="preserve"> ili </w:t>
      </w:r>
      <w:r>
        <w:rPr>
          <w:rFonts w:ascii="Times New Roman" w:hAnsi="Times New Roman" w:eastAsia="Times New Roman" w:cs="Times New Roman"/>
          <w:b/>
          <w:color w:val="000000"/>
          <w:sz w:val="24"/>
        </w:rPr>
        <w:t xml:space="preserve">33,07%</w:t>
      </w:r>
      <w:r>
        <w:rPr>
          <w:rFonts w:ascii="Times New Roman" w:hAnsi="Times New Roman" w:eastAsia="Times New Roman" w:cs="Times New Roman"/>
          <w:color w:val="000000"/>
          <w:sz w:val="24"/>
        </w:rPr>
        <w:t xml:space="preserve"> u periodu od 9 godina.</w:t>
      </w:r>
      <w:r/>
      <w:r/>
    </w:p>
    <w:p>
      <w:pPr>
        <w:pStyle w:val="605"/>
        <w:numPr>
          <w:ilvl w:val="0"/>
          <w:numId w:val="44"/>
        </w:numPr>
        <w:ind w:right="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Pad je kontinuiran i izražen, sa značajnim smanjenjem između 2016/17 i 2018/19.</w:t>
      </w: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mc:AlternateContent>
          <mc:Choice Requires="wpg">
            <w:drawing>
              <wp:inline xmlns:wp="http://schemas.openxmlformats.org/drawingml/2006/wordprocessingDrawing" distT="0" distB="0" distL="0" distR="0">
                <wp:extent cx="3769600" cy="233087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76513" name=""/>
                        <pic:cNvPicPr>
                          <a:picLocks noChangeAspect="1"/>
                        </pic:cNvPicPr>
                        <pic:nvPr/>
                      </pic:nvPicPr>
                      <pic:blipFill>
                        <a:blip r:embed="rId11"/>
                        <a:stretch/>
                      </pic:blipFill>
                      <pic:spPr bwMode="auto">
                        <a:xfrm flipH="0" flipV="0">
                          <a:off x="0" y="0"/>
                          <a:ext cx="3769599" cy="2330868"/>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96.8pt;height:183.5pt;mso-wrap-distance-left:0.0pt;mso-wrap-distance-top:0.0pt;mso-wrap-distance-right:0.0pt;mso-wrap-distance-bottom:0.0pt;" stroked="false">
                <v:path textboxrect="0,0,0,0"/>
                <v:imagedata r:id="rId11" o:title=""/>
              </v:shape>
            </w:pict>
          </mc:Fallback>
        </mc:AlternateContent>
      </w:r>
      <w:r>
        <w:rPr>
          <w:rFonts w:ascii="Times New Roman" w:hAnsi="Times New Roman" w:eastAsia="Times New Roman" w:cs="Times New Roman"/>
          <w:sz w:val="24"/>
          <w:szCs w:val="24"/>
        </w:rPr>
      </w:r>
      <w:r/>
    </w:p>
    <w:p>
      <w:pPr>
        <w:pStyle w:val="19"/>
        <w:ind w:left="0" w:right="0" w:firstLine="0"/>
        <w:jc w:val="both"/>
        <w:spacing w:before="319" w:after="319"/>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2. Broj učenika 1. razreda (2014/15–2023/24):</w:t>
      </w:r>
      <w:r/>
      <w:r/>
    </w:p>
    <w:p>
      <w:pPr>
        <w:pStyle w:val="605"/>
        <w:numPr>
          <w:ilvl w:val="0"/>
          <w:numId w:val="45"/>
        </w:numPr>
        <w:ind w:right="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Broj učenika 1. razreda smanjen je sa </w:t>
      </w:r>
      <w:r>
        <w:rPr>
          <w:rFonts w:ascii="Times New Roman" w:hAnsi="Times New Roman" w:eastAsia="Times New Roman" w:cs="Times New Roman"/>
          <w:b/>
          <w:color w:val="000000"/>
          <w:sz w:val="24"/>
        </w:rPr>
        <w:t xml:space="preserve">169 (2014/15)</w:t>
      </w:r>
      <w:r>
        <w:rPr>
          <w:rFonts w:ascii="Times New Roman" w:hAnsi="Times New Roman" w:eastAsia="Times New Roman" w:cs="Times New Roman"/>
          <w:color w:val="000000"/>
          <w:sz w:val="24"/>
        </w:rPr>
        <w:t xml:space="preserve"> na </w:t>
      </w:r>
      <w:r>
        <w:rPr>
          <w:rFonts w:ascii="Times New Roman" w:hAnsi="Times New Roman" w:eastAsia="Times New Roman" w:cs="Times New Roman"/>
          <w:b/>
          <w:color w:val="000000"/>
          <w:sz w:val="24"/>
        </w:rPr>
        <w:t xml:space="preserve">153 (2023/24)</w:t>
      </w:r>
      <w:r>
        <w:rPr>
          <w:rFonts w:ascii="Times New Roman" w:hAnsi="Times New Roman" w:eastAsia="Times New Roman" w:cs="Times New Roman"/>
          <w:color w:val="000000"/>
          <w:sz w:val="24"/>
        </w:rPr>
        <w:t xml:space="preserve">, što predstavlja pad od </w:t>
      </w:r>
      <w:r>
        <w:rPr>
          <w:rFonts w:ascii="Times New Roman" w:hAnsi="Times New Roman" w:eastAsia="Times New Roman" w:cs="Times New Roman"/>
          <w:b/>
          <w:color w:val="000000"/>
          <w:sz w:val="24"/>
        </w:rPr>
        <w:t xml:space="preserve">9,47%</w:t>
      </w:r>
      <w:r>
        <w:rPr>
          <w:rFonts w:ascii="Times New Roman" w:hAnsi="Times New Roman" w:eastAsia="Times New Roman" w:cs="Times New Roman"/>
          <w:color w:val="000000"/>
          <w:sz w:val="24"/>
        </w:rPr>
        <w:t xml:space="preserve"> ili </w:t>
      </w:r>
      <w:r>
        <w:rPr>
          <w:rFonts w:ascii="Times New Roman" w:hAnsi="Times New Roman" w:eastAsia="Times New Roman" w:cs="Times New Roman"/>
          <w:b/>
          <w:color w:val="000000"/>
          <w:sz w:val="24"/>
        </w:rPr>
        <w:t xml:space="preserve">16 učenika</w:t>
      </w:r>
      <w:r>
        <w:rPr>
          <w:rFonts w:ascii="Times New Roman" w:hAnsi="Times New Roman" w:eastAsia="Times New Roman" w:cs="Times New Roman"/>
          <w:color w:val="000000"/>
          <w:sz w:val="24"/>
        </w:rPr>
        <w:t xml:space="preserve">.</w:t>
      </w:r>
      <w:r/>
      <w:r/>
    </w:p>
    <w:p>
      <w:pPr>
        <w:pStyle w:val="605"/>
        <w:numPr>
          <w:ilvl w:val="0"/>
          <w:numId w:val="46"/>
        </w:numPr>
        <w:ind w:right="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Najveći broj učenika 1. razreda zabeležen je u 2015/16 (182), dok je najmanji broj zabeležen u 2018/19 (139).</w:t>
      </w:r>
      <w:r/>
      <w:r/>
    </w:p>
    <w:p>
      <w:pPr>
        <w:pStyle w:val="605"/>
        <w:numPr>
          <w:ilvl w:val="0"/>
          <w:numId w:val="47"/>
        </w:numPr>
        <w:ind w:right="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Posle pada do 2018/19, broj prvaka pokazuje oscilacije, sa blagim oporavkom u poslednjim godinama.</w:t>
      </w: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mc:AlternateContent>
          <mc:Choice Requires="wpg">
            <w:drawing>
              <wp:inline xmlns:wp="http://schemas.openxmlformats.org/drawingml/2006/wordprocessingDrawing" distT="0" distB="0" distL="0" distR="0">
                <wp:extent cx="3789716" cy="2343307"/>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6013" name=""/>
                        <pic:cNvPicPr>
                          <a:picLocks noChangeAspect="1"/>
                        </pic:cNvPicPr>
                        <pic:nvPr/>
                      </pic:nvPicPr>
                      <pic:blipFill>
                        <a:blip r:embed="rId12"/>
                        <a:stretch/>
                      </pic:blipFill>
                      <pic:spPr bwMode="auto">
                        <a:xfrm flipH="0" flipV="0">
                          <a:off x="0" y="0"/>
                          <a:ext cx="3789714" cy="234330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298.4pt;height:184.5pt;mso-wrap-distance-left:0.0pt;mso-wrap-distance-top:0.0pt;mso-wrap-distance-right:0.0pt;mso-wrap-distance-bottom:0.0pt;" stroked="false">
                <v:path textboxrect="0,0,0,0"/>
                <v:imagedata r:id="rId12" o:title=""/>
              </v:shape>
            </w:pict>
          </mc:Fallback>
        </mc:AlternateContent>
      </w:r>
      <w:r>
        <w:rPr>
          <w:rFonts w:ascii="Times New Roman" w:hAnsi="Times New Roman" w:eastAsia="Times New Roman" w:cs="Times New Roman"/>
          <w:sz w:val="24"/>
          <w:szCs w:val="24"/>
        </w:rPr>
      </w:r>
      <w:r/>
    </w:p>
    <w:p>
      <w:pPr>
        <w:pStyle w:val="19"/>
        <w:ind w:left="0" w:right="0" w:firstLine="0"/>
        <w:jc w:val="both"/>
        <w:spacing w:before="319" w:after="319"/>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3. Oscilacije i trendovi:</w:t>
      </w:r>
      <w:r/>
      <w:r/>
    </w:p>
    <w:p>
      <w:pPr>
        <w:pStyle w:val="605"/>
        <w:numPr>
          <w:ilvl w:val="0"/>
          <w:numId w:val="48"/>
        </w:numPr>
        <w:ind w:right="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Postepen pad do 2018/19:</w:t>
      </w:r>
      <w:r>
        <w:rPr>
          <w:rFonts w:ascii="Times New Roman" w:hAnsi="Times New Roman" w:eastAsia="Times New Roman" w:cs="Times New Roman"/>
          <w:color w:val="000000"/>
          <w:sz w:val="24"/>
        </w:rPr>
        <w:t xml:space="preserve"> Broj ukupnih učenika i broj prvaka beleže kontinuiran pad, sa izraženim smanjenjem između 2016/17 i 2018/19.</w:t>
      </w:r>
      <w:r/>
      <w:r/>
    </w:p>
    <w:p>
      <w:pPr>
        <w:pStyle w:val="605"/>
        <w:numPr>
          <w:ilvl w:val="0"/>
          <w:numId w:val="49"/>
        </w:numPr>
        <w:ind w:right="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Stabilizacija broja prvaka posle 2018/19:</w:t>
      </w:r>
      <w:r>
        <w:rPr>
          <w:rFonts w:ascii="Times New Roman" w:hAnsi="Times New Roman" w:eastAsia="Times New Roman" w:cs="Times New Roman"/>
          <w:color w:val="000000"/>
          <w:sz w:val="24"/>
        </w:rPr>
        <w:t xml:space="preserve"> Broj učenika 1. razreda pokazuje oscilacije, sa povremenim oporavkom.</w:t>
      </w:r>
      <w:r/>
      <w:r/>
    </w:p>
    <w:p>
      <w:pPr>
        <w:pStyle w:val="605"/>
        <w:numPr>
          <w:ilvl w:val="0"/>
          <w:numId w:val="50"/>
        </w:numPr>
        <w:ind w:right="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Razlika u trendovima:</w:t>
      </w:r>
      <w:r>
        <w:rPr>
          <w:rFonts w:ascii="Times New Roman" w:hAnsi="Times New Roman" w:eastAsia="Times New Roman" w:cs="Times New Roman"/>
          <w:color w:val="000000"/>
          <w:sz w:val="24"/>
        </w:rPr>
        <w:t xml:space="preserve"> Brži pad ukupnog broja učenika ukazuje na dugoročan demografski izazov, dok broj prvaka pokazuje određenu stabilnost u poslednjim godinama.</w:t>
      </w:r>
      <w:r/>
      <w:r/>
    </w:p>
    <w:p>
      <w:pPr>
        <w:pStyle w:val="17"/>
        <w:ind w:left="0" w:right="0" w:firstLine="0"/>
        <w:jc w:val="both"/>
        <w:spacing w:before="281" w:after="281"/>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rPr>
        <w:t xml:space="preserve">Bazični indeksi (bazna godina: 2014/15)</w:t>
      </w:r>
      <w:r/>
      <w:r/>
    </w:p>
    <w:p>
      <w:pPr>
        <w:ind w:left="0" w:right="0" w:firstLine="0"/>
        <w:jc w:val="both"/>
        <w:spacing w:before="240" w:after="24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Bazični indeks = (Vrednost u datoj godini / Vrednost u 2014/15) × 100 </w:t>
      </w:r>
      <w:r/>
      <w:r/>
    </w:p>
    <w:tbl>
      <w:tblPr>
        <w:tblStyle w:val="48"/>
        <w:tblW w:w="0" w:type="auto"/>
        <w:jc w:val="center"/>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612"/>
        <w:gridCol w:w="1686"/>
        <w:gridCol w:w="2529"/>
        <w:gridCol w:w="1871"/>
        <w:gridCol w:w="2656"/>
      </w:tblGrid>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612"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Godina</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686"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Ukupan broj učenika</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529"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Bazični indeks ukupnih učenika</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871"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Broj učenika 1. razreda</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656"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Bazični indeks učenika 1. razreda</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612"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2014/15</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68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1.824</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529"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100,00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871"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169</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65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100,00</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612"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2015/16</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68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1.764</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529"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96,71</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871"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182</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65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107,69</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612"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2016/17</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68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1.680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529"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92,10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871"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167</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65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98,82</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612"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2017/18</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68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1.563</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529"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85,69</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871"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149</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65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88,17</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612"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2018/19</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68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1.447</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529"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79,36</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871"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139</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65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82,25</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612"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2019/20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68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1.366</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529"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74,90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871"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166</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65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98,22</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612"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2020/21</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68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1.285</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529"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70,44</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871"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151</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65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89,35</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612"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2021/22</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68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1.234</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529"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67,68</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871"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145</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65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85,80</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612"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2022/23</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68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1.232</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529"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67,57</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871"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166</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65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98,22</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612"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2023/24</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68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1.221</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529"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66,96</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871"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153</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65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90,53</w:t>
            </w:r>
            <w:r/>
            <w:r/>
          </w:p>
        </w:tc>
      </w:tr>
    </w:tbl>
    <w:p>
      <w:pPr>
        <w:pStyle w:val="17"/>
        <w:ind w:left="0" w:right="0" w:firstLine="0"/>
        <w:jc w:val="both"/>
        <w:spacing w:before="281" w:after="281"/>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rPr>
        <w:t xml:space="preserve">Projekcije za 2031. i 2041. godinu</w:t>
      </w:r>
      <w:r/>
      <w:r/>
    </w:p>
    <w:p>
      <w:pPr>
        <w:pStyle w:val="19"/>
        <w:ind w:left="0" w:right="0" w:firstLine="0"/>
        <w:jc w:val="both"/>
        <w:spacing w:before="319" w:after="319"/>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Projekcija ukupnog broja učenika</w:t>
      </w:r>
      <w:r/>
      <w:r/>
    </w:p>
    <w:p>
      <w:pPr>
        <w:ind w:left="0" w:right="0" w:firstLine="0"/>
        <w:jc w:val="both"/>
        <w:spacing w:before="240" w:after="24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Prosečan godišnji pad ukupnog broja učenika (2014/15–2023/24): -</w:t>
      </w:r>
      <w:r>
        <w:rPr>
          <w:rFonts w:ascii="Times New Roman" w:hAnsi="Times New Roman" w:eastAsia="Times New Roman" w:cs="Times New Roman"/>
          <w:color w:val="000000"/>
          <w:sz w:val="24"/>
        </w:rPr>
        <w:t xml:space="preserve">3,68\%</w:t>
      </w:r>
      <w:r>
        <w:t xml:space="preserve"> godišnje</w:t>
      </w:r>
      <w:r/>
      <w:r/>
    </w:p>
    <w:p>
      <w:pPr>
        <w:ind w:left="0" w:right="0" w:firstLine="0"/>
        <w:jc w:val="both"/>
        <w:spacing w:before="240" w:after="24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Projekcija:</w:t>
      </w:r>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Ukupan broj učenika 2031 ≈ 1.009</w:t>
      </w:r>
      <w:r>
        <w:rPr>
          <w:rFonts w:ascii="Times New Roman" w:hAnsi="Times New Roman" w:eastAsia="Times New Roman" w:cs="Times New Roman"/>
          <w:color w:val="000000"/>
          <w:sz w:val="24"/>
          <w:szCs w:val="24"/>
        </w:rPr>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Ukupan broj učenika 2041 ≈ 834 </w:t>
      </w:r>
      <w:r>
        <w:rPr>
          <w:rFonts w:ascii="Times New Roman" w:hAnsi="Times New Roman" w:eastAsia="Times New Roman" w:cs="Times New Roman"/>
          <w:sz w:val="24"/>
          <w:szCs w:val="24"/>
        </w:rPr>
      </w:r>
      <w:r/>
    </w:p>
    <w:p>
      <w:pPr>
        <w:pStyle w:val="19"/>
        <w:ind w:left="0" w:right="0" w:firstLine="0"/>
        <w:jc w:val="both"/>
        <w:spacing w:before="319" w:after="319"/>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Projekcija broja učenika 1. razreda</w:t>
      </w:r>
      <w:r/>
      <w:r/>
    </w:p>
    <w:p>
      <w:pPr>
        <w:ind w:left="0" w:right="0" w:firstLine="0"/>
        <w:jc w:val="both"/>
        <w:spacing w:before="240" w:after="24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Prosečan godišnji pad broja učenika 1. razreda (2014/15–2023/24):</w:t>
      </w:r>
      <w:r>
        <w:rPr>
          <w:rFonts w:ascii="Times New Roman" w:hAnsi="Times New Roman" w:eastAsia="Times New Roman" w:cs="Times New Roman"/>
          <w:color w:val="000000"/>
          <w:sz w:val="24"/>
        </w:rPr>
        <w:t xml:space="preserve"> -1,06\%</w:t>
      </w:r>
      <w:r/>
      <w:r/>
    </w:p>
    <w:p>
      <w:pPr>
        <w:ind w:left="0" w:right="0" w:firstLine="0"/>
        <w:jc w:val="both"/>
        <w:spacing w:before="240" w:after="24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Projekcija:</w:t>
      </w:r>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Broj učenika 1. razreda 2031 ≈ 141,</w:t>
      </w:r>
      <w:r>
        <w:rPr>
          <w:rFonts w:ascii="Times New Roman" w:hAnsi="Times New Roman" w:eastAsia="Times New Roman" w:cs="Times New Roman"/>
          <w:color w:val="000000"/>
          <w:sz w:val="24"/>
          <w:szCs w:val="24"/>
        </w:rPr>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Broj učenika 1. razreda 2041 ≈ 127 </w:t>
      </w:r>
      <w:r>
        <w:rPr>
          <w:rFonts w:ascii="Times New Roman" w:hAnsi="Times New Roman" w:eastAsia="Times New Roman" w:cs="Times New Roman"/>
          <w:sz w:val="24"/>
          <w:szCs w:val="24"/>
        </w:rPr>
      </w:r>
      <w:r/>
    </w:p>
    <w:p>
      <w:pPr>
        <w:pStyle w:val="17"/>
        <w:ind w:left="0" w:right="0" w:firstLine="0"/>
        <w:jc w:val="both"/>
        <w:spacing w:before="281" w:after="281"/>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rPr>
        <w:t xml:space="preserve">Zaključci</w:t>
      </w:r>
      <w:r/>
      <w:r/>
    </w:p>
    <w:p>
      <w:pPr>
        <w:pStyle w:val="19"/>
        <w:ind w:left="0" w:right="0" w:firstLine="0"/>
        <w:jc w:val="both"/>
        <w:spacing w:before="319" w:after="319"/>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A) Kretanje broja učenika (2014/15–2023/24):</w:t>
      </w:r>
      <w:r/>
      <w:r/>
    </w:p>
    <w:p>
      <w:pPr>
        <w:pStyle w:val="605"/>
        <w:numPr>
          <w:ilvl w:val="0"/>
          <w:numId w:val="51"/>
        </w:numPr>
        <w:ind w:right="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Ukupan broj učenika opao je za </w:t>
      </w:r>
      <w:r>
        <w:rPr>
          <w:rFonts w:ascii="Times New Roman" w:hAnsi="Times New Roman" w:eastAsia="Times New Roman" w:cs="Times New Roman"/>
          <w:b/>
          <w:color w:val="000000"/>
          <w:sz w:val="24"/>
        </w:rPr>
        <w:t xml:space="preserve">33,07%</w:t>
      </w:r>
      <w:r>
        <w:rPr>
          <w:rFonts w:ascii="Times New Roman" w:hAnsi="Times New Roman" w:eastAsia="Times New Roman" w:cs="Times New Roman"/>
          <w:color w:val="000000"/>
          <w:sz w:val="24"/>
        </w:rPr>
        <w:t xml:space="preserve">, dok je broj učenika 1. razreda opao za </w:t>
      </w:r>
      <w:r>
        <w:rPr>
          <w:rFonts w:ascii="Times New Roman" w:hAnsi="Times New Roman" w:eastAsia="Times New Roman" w:cs="Times New Roman"/>
          <w:b/>
          <w:color w:val="000000"/>
          <w:sz w:val="24"/>
        </w:rPr>
        <w:t xml:space="preserve">9,47%</w:t>
      </w:r>
      <w:r>
        <w:rPr>
          <w:rFonts w:ascii="Times New Roman" w:hAnsi="Times New Roman" w:eastAsia="Times New Roman" w:cs="Times New Roman"/>
          <w:color w:val="000000"/>
          <w:sz w:val="24"/>
        </w:rPr>
        <w:t xml:space="preserve">.</w:t>
      </w:r>
      <w:r/>
      <w:r/>
    </w:p>
    <w:p>
      <w:pPr>
        <w:pStyle w:val="605"/>
        <w:numPr>
          <w:ilvl w:val="0"/>
          <w:numId w:val="52"/>
        </w:numPr>
        <w:ind w:right="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Pad ukupnog broja učenika je znatno izraženiji u poređenju sa padom broja prvaka, što ukazuje na ozbiljan demografski izazov.</w:t>
      </w:r>
      <w:r/>
      <w:r/>
    </w:p>
    <w:p>
      <w:pPr>
        <w:pStyle w:val="19"/>
        <w:ind w:left="0" w:right="0" w:firstLine="0"/>
        <w:jc w:val="both"/>
        <w:spacing w:before="319" w:after="319"/>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B) Projekcije za 2031. i 2041. godinu:</w:t>
      </w:r>
      <w:r/>
      <w:r/>
    </w:p>
    <w:p>
      <w:pPr>
        <w:pStyle w:val="605"/>
        <w:numPr>
          <w:ilvl w:val="0"/>
          <w:numId w:val="53"/>
        </w:numPr>
        <w:ind w:right="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Ukupan broj učenika:</w:t>
      </w:r>
      <w:r>
        <w:rPr>
          <w:rFonts w:ascii="Times New Roman" w:hAnsi="Times New Roman" w:eastAsia="Times New Roman" w:cs="Times New Roman"/>
          <w:color w:val="000000"/>
          <w:sz w:val="24"/>
        </w:rPr>
        <w:t xml:space="preserve"> Očekuje se pad na </w:t>
      </w:r>
      <w:r>
        <w:rPr>
          <w:rFonts w:ascii="Times New Roman" w:hAnsi="Times New Roman" w:eastAsia="Times New Roman" w:cs="Times New Roman"/>
          <w:b/>
          <w:color w:val="000000"/>
          <w:sz w:val="24"/>
        </w:rPr>
        <w:t xml:space="preserve">1.009 učenika do 2031. godine</w:t>
      </w:r>
      <w:r>
        <w:rPr>
          <w:rFonts w:ascii="Times New Roman" w:hAnsi="Times New Roman" w:eastAsia="Times New Roman" w:cs="Times New Roman"/>
          <w:color w:val="000000"/>
          <w:sz w:val="24"/>
        </w:rPr>
        <w:t xml:space="preserve"> i </w:t>
      </w:r>
      <w:r>
        <w:rPr>
          <w:rFonts w:ascii="Times New Roman" w:hAnsi="Times New Roman" w:eastAsia="Times New Roman" w:cs="Times New Roman"/>
          <w:b/>
          <w:color w:val="000000"/>
          <w:sz w:val="24"/>
        </w:rPr>
        <w:t xml:space="preserve">834 učenika do 2041. godine</w:t>
      </w:r>
      <w:r>
        <w:rPr>
          <w:rFonts w:ascii="Times New Roman" w:hAnsi="Times New Roman" w:eastAsia="Times New Roman" w:cs="Times New Roman"/>
          <w:color w:val="000000"/>
          <w:sz w:val="24"/>
        </w:rPr>
        <w:t xml:space="preserve">, što je smanjenje od </w:t>
      </w:r>
      <w:r>
        <w:rPr>
          <w:rFonts w:ascii="Times New Roman" w:hAnsi="Times New Roman" w:eastAsia="Times New Roman" w:cs="Times New Roman"/>
          <w:b/>
          <w:color w:val="000000"/>
          <w:sz w:val="24"/>
        </w:rPr>
        <w:t xml:space="preserve">31,7%</w:t>
      </w:r>
      <w:r>
        <w:rPr>
          <w:rFonts w:ascii="Times New Roman" w:hAnsi="Times New Roman" w:eastAsia="Times New Roman" w:cs="Times New Roman"/>
          <w:color w:val="000000"/>
          <w:sz w:val="24"/>
        </w:rPr>
        <w:t xml:space="preserve"> u naredne dve decenije.</w:t>
      </w:r>
      <w:r/>
      <w:r/>
    </w:p>
    <w:p>
      <w:pPr>
        <w:pStyle w:val="605"/>
        <w:numPr>
          <w:ilvl w:val="0"/>
          <w:numId w:val="54"/>
        </w:numPr>
        <w:ind w:right="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Broj učenika 1. razreda:</w:t>
      </w:r>
      <w:r>
        <w:rPr>
          <w:rFonts w:ascii="Times New Roman" w:hAnsi="Times New Roman" w:eastAsia="Times New Roman" w:cs="Times New Roman"/>
          <w:color w:val="000000"/>
          <w:sz w:val="24"/>
        </w:rPr>
        <w:t xml:space="preserve"> Predviđa se pad na </w:t>
      </w:r>
      <w:r>
        <w:rPr>
          <w:rFonts w:ascii="Times New Roman" w:hAnsi="Times New Roman" w:eastAsia="Times New Roman" w:cs="Times New Roman"/>
          <w:b/>
          <w:color w:val="000000"/>
          <w:sz w:val="24"/>
        </w:rPr>
        <w:t xml:space="preserve">141 učenika do 2031. godine</w:t>
      </w:r>
      <w:r>
        <w:rPr>
          <w:rFonts w:ascii="Times New Roman" w:hAnsi="Times New Roman" w:eastAsia="Times New Roman" w:cs="Times New Roman"/>
          <w:color w:val="000000"/>
          <w:sz w:val="24"/>
        </w:rPr>
        <w:t xml:space="preserve"> i </w:t>
      </w:r>
      <w:r>
        <w:rPr>
          <w:rFonts w:ascii="Times New Roman" w:hAnsi="Times New Roman" w:eastAsia="Times New Roman" w:cs="Times New Roman"/>
          <w:b/>
          <w:color w:val="000000"/>
          <w:sz w:val="24"/>
        </w:rPr>
        <w:t xml:space="preserve">127 učenika do 2041. godine</w:t>
      </w:r>
      <w:r>
        <w:rPr>
          <w:rFonts w:ascii="Times New Roman" w:hAnsi="Times New Roman" w:eastAsia="Times New Roman" w:cs="Times New Roman"/>
          <w:color w:val="000000"/>
          <w:sz w:val="24"/>
        </w:rPr>
        <w:t xml:space="preserve">, što ukazuje na postepeno smanjenje nataliteta.</w:t>
      </w:r>
      <w:r/>
      <w:r/>
    </w:p>
    <w:p>
      <w:pPr>
        <w:pStyle w:val="19"/>
        <w:ind w:left="0" w:right="0" w:firstLine="0"/>
        <w:jc w:val="both"/>
        <w:spacing w:before="319" w:after="319"/>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C) Ključni izazovi i preporuke:</w:t>
      </w:r>
      <w:r/>
      <w:r/>
    </w:p>
    <w:p>
      <w:pPr>
        <w:pStyle w:val="605"/>
        <w:numPr>
          <w:ilvl w:val="0"/>
          <w:numId w:val="55"/>
        </w:numPr>
        <w:ind w:right="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Migracije i demografski pad:</w:t>
      </w:r>
      <w:r>
        <w:rPr>
          <w:rFonts w:ascii="Times New Roman" w:hAnsi="Times New Roman" w:eastAsia="Times New Roman" w:cs="Times New Roman"/>
          <w:color w:val="000000"/>
          <w:sz w:val="24"/>
        </w:rPr>
        <w:t xml:space="preserve"> Migracije i opadanje nataliteta predstavljaju ključne izazove za održivost obrazovnog sistema.</w:t>
      </w:r>
      <w:r/>
      <w:r/>
    </w:p>
    <w:p>
      <w:pPr>
        <w:pStyle w:val="605"/>
        <w:numPr>
          <w:ilvl w:val="0"/>
          <w:numId w:val="56"/>
        </w:numPr>
        <w:ind w:right="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Blaga stabilizacija broja prvaka:</w:t>
      </w:r>
      <w:r>
        <w:rPr>
          <w:rFonts w:ascii="Times New Roman" w:hAnsi="Times New Roman" w:eastAsia="Times New Roman" w:cs="Times New Roman"/>
          <w:color w:val="000000"/>
          <w:sz w:val="24"/>
        </w:rPr>
        <w:t xml:space="preserve"> Oscilacije u broju prvaka u poslednjim godinama pružaju mogućnost za stabilizaciju ovog uzrasta kroz ciljane demografske i ekonomske mere.</w:t>
      </w:r>
      <w:r/>
      <w:r/>
    </w:p>
    <w:p>
      <w:pPr>
        <w:pStyle w:val="605"/>
        <w:numPr>
          <w:ilvl w:val="0"/>
          <w:numId w:val="57"/>
        </w:numPr>
        <w:ind w:right="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Preporuke:</w:t>
      </w:r>
      <w:r>
        <w:rPr>
          <w:rFonts w:ascii="Times New Roman" w:hAnsi="Times New Roman" w:eastAsia="Times New Roman" w:cs="Times New Roman"/>
          <w:color w:val="000000"/>
          <w:sz w:val="24"/>
        </w:rPr>
        <w:t xml:space="preserve"> Fokusirati se na zadržavanje stanovništva, podsticanje nataliteta i unapređenje lokalne privrede radi smanjenja migracija.</w:t>
      </w:r>
      <w:r/>
      <w:r/>
    </w:p>
    <w:p>
      <w:pPr>
        <w:pStyle w:val="19"/>
        <w:ind w:left="0" w:right="0" w:firstLine="0"/>
        <w:jc w:val="both"/>
        <w:spacing w:before="319" w:after="319"/>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D) Opšti zaključak:</w:t>
      </w:r>
      <w:r/>
      <w:r/>
    </w:p>
    <w:p>
      <w:r>
        <w:rPr>
          <w:rFonts w:ascii="Times New Roman" w:hAnsi="Times New Roman" w:eastAsia="Times New Roman" w:cs="Times New Roman"/>
          <w:color w:val="000000"/>
          <w:sz w:val="24"/>
        </w:rPr>
        <w:t xml:space="preserve">Priboj beleži kontinuiran pad ukupnog broja učenika, dok broj prvaka pokazuje relativnu stabilnost uz povremene oscilacije. Ukoliko se trenutni trendovi nastave, obrazovni sistem će se suočiti sa potrebom za značajnim prilagođavanjem kapaciteta škola i lok</w:t>
      </w:r>
      <w:r>
        <w:rPr>
          <w:rFonts w:ascii="Times New Roman" w:hAnsi="Times New Roman" w:eastAsia="Times New Roman" w:cs="Times New Roman"/>
          <w:color w:val="000000"/>
          <w:sz w:val="24"/>
        </w:rPr>
        <w:t xml:space="preserve">alnih politika do 2041. godine.</w:t>
      </w:r>
      <w:r/>
      <w:r/>
      <w:r/>
      <w:r/>
    </w:p>
    <w:sectPr>
      <w:headerReference w:type="default" r:id="rId9"/>
      <w:footerReference w:type="default" r:id="rId10"/>
      <w:footnotePr/>
      <w:endnotePr/>
      <w:type w:val="nextPage"/>
      <w:pgSz w:w="11906" w:h="16838" w:orient="portrait"/>
      <w:pgMar w:top="992" w:right="850" w:bottom="1134" w:left="1701" w:header="425"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4"/>
      <w:jc w:val="right"/>
    </w:pPr>
    <w:fldSimple w:instr="PAGE \* MERGEFORMAT">
      <w:r>
        <w:t xml:space="preserve">1</w:t>
      </w:r>
    </w:fldSimple>
    <w:r/>
    <w:r/>
  </w:p>
  <w:p>
    <w:pPr>
      <w:pStyle w:val="44"/>
    </w:p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2"/>
    </w:pPr>
    <w:r>
      <mc:AlternateContent>
        <mc:Choice Requires="wpg">
          <w:drawing>
            <wp:inline xmlns:wp="http://schemas.openxmlformats.org/drawingml/2006/wordprocessingDrawing" distT="0" distB="0" distL="0" distR="0">
              <wp:extent cx="759165" cy="176546"/>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77546" name=""/>
                      <pic:cNvPicPr>
                        <a:picLocks noChangeAspect="1"/>
                      </pic:cNvPicPr>
                      <pic:nvPr/>
                    </pic:nvPicPr>
                    <pic:blipFill>
                      <a:blip r:embed="rId1"/>
                      <a:srcRect l="0" t="37655" r="0" b="39089"/>
                      <a:stretch/>
                    </pic:blipFill>
                    <pic:spPr bwMode="auto">
                      <a:xfrm flipH="0" flipV="0">
                        <a:off x="0" y="0"/>
                        <a:ext cx="759162" cy="17654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9.8pt;height:13.9pt;mso-wrap-distance-left:0.0pt;mso-wrap-distance-top:0.0pt;mso-wrap-distance-right:0.0pt;mso-wrap-distance-bottom:0.0pt;" stroked="false">
              <v:path textboxrect="0,0,0,0"/>
              <v:imagedata r:id="rId1" o:title=""/>
            </v:shape>
          </w:pict>
        </mc:Fallback>
      </mc:AlternateContent>
      <w:t xml:space="preserve">powered by </w:t>
    </w:r>
    <w:r>
      <mc:AlternateContent>
        <mc:Choice Requires="wpg">
          <w:drawing>
            <wp:inline xmlns:wp="http://schemas.openxmlformats.org/drawingml/2006/wordprocessingDrawing" distT="0" distB="0" distL="0" distR="0">
              <wp:extent cx="344574" cy="186575"/>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449917" name=""/>
                      <pic:cNvPicPr>
                        <a:picLocks noChangeAspect="1"/>
                      </pic:cNvPicPr>
                      <pic:nvPr/>
                    </pic:nvPicPr>
                    <pic:blipFill>
                      <a:blip r:embed="rId2"/>
                      <a:srcRect l="17992" t="28202" r="17670" b="36962"/>
                      <a:stretch/>
                    </pic:blipFill>
                    <pic:spPr bwMode="auto">
                      <a:xfrm flipH="0" flipV="0">
                        <a:off x="0" y="0"/>
                        <a:ext cx="344574" cy="18657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7.1pt;height:14.7pt;mso-wrap-distance-left:0.0pt;mso-wrap-distance-top:0.0pt;mso-wrap-distance-right:0.0pt;mso-wrap-distance-bottom:0.0pt;" stroked="false">
              <v:path textboxrect="0,0,0,0"/>
              <v:imagedata r:id="rId2" o:title=""/>
            </v:shape>
          </w:pict>
        </mc:Fallback>
      </mc:AlternateContent>
    </w:r>
    <w:r/>
    <w:r/>
    <w: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1">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3">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4">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5">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6">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7">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8">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9">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0">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11">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12">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13">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14">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1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6">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17">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8">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9">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20">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21">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22">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23">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4">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25">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26">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27">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28">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29">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30">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31">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32">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33">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34">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35">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36">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37">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38">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39">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40">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41">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42">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43">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44">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4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46">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47">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48">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49">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50">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51">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52">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53">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54">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55">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56">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01"/>
    <w:next w:val="601"/>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01"/>
    <w:next w:val="601"/>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01"/>
    <w:next w:val="601"/>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01"/>
    <w:next w:val="601"/>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01"/>
    <w:next w:val="601"/>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01"/>
    <w:next w:val="601"/>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01"/>
    <w:next w:val="601"/>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01"/>
    <w:next w:val="601"/>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01"/>
    <w:next w:val="601"/>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4">
    <w:name w:val="Title"/>
    <w:basedOn w:val="601"/>
    <w:next w:val="601"/>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01"/>
    <w:next w:val="601"/>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01"/>
    <w:next w:val="601"/>
    <w:link w:val="39"/>
    <w:uiPriority w:val="29"/>
    <w:qFormat/>
    <w:pPr>
      <w:ind w:left="720" w:right="720"/>
    </w:pPr>
    <w:rPr>
      <w:i/>
    </w:rPr>
  </w:style>
  <w:style w:type="character" w:styleId="39">
    <w:name w:val="Quote Char"/>
    <w:link w:val="38"/>
    <w:uiPriority w:val="29"/>
    <w:rPr>
      <w:i/>
    </w:rPr>
  </w:style>
  <w:style w:type="paragraph" w:styleId="40">
    <w:name w:val="Intense Quote"/>
    <w:basedOn w:val="601"/>
    <w:next w:val="601"/>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01"/>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01"/>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01"/>
    <w:next w:val="601"/>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0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0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0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0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0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0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0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0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0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0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0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0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0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0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0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0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0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0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0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0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0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0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0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0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0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0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0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0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0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0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0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0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0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0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0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0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0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0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0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0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0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0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0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0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0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0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0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0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0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0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0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0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0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0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0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0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0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0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0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0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0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0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0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0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0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0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0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0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0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0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0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0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0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0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0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0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0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0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0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0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0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0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0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0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0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0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0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0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0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0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0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0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0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0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0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0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0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0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0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0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0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0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0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0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0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0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0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0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0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01"/>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01"/>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01"/>
    <w:next w:val="601"/>
    <w:uiPriority w:val="39"/>
    <w:unhideWhenUsed/>
    <w:pPr>
      <w:ind w:left="0" w:right="0" w:firstLine="0"/>
      <w:spacing w:after="57"/>
    </w:pPr>
  </w:style>
  <w:style w:type="paragraph" w:styleId="182">
    <w:name w:val="toc 2"/>
    <w:basedOn w:val="601"/>
    <w:next w:val="601"/>
    <w:uiPriority w:val="39"/>
    <w:unhideWhenUsed/>
    <w:pPr>
      <w:ind w:left="283" w:right="0" w:firstLine="0"/>
      <w:spacing w:after="57"/>
    </w:pPr>
  </w:style>
  <w:style w:type="paragraph" w:styleId="183">
    <w:name w:val="toc 3"/>
    <w:basedOn w:val="601"/>
    <w:next w:val="601"/>
    <w:uiPriority w:val="39"/>
    <w:unhideWhenUsed/>
    <w:pPr>
      <w:ind w:left="567" w:right="0" w:firstLine="0"/>
      <w:spacing w:after="57"/>
    </w:pPr>
  </w:style>
  <w:style w:type="paragraph" w:styleId="184">
    <w:name w:val="toc 4"/>
    <w:basedOn w:val="601"/>
    <w:next w:val="601"/>
    <w:uiPriority w:val="39"/>
    <w:unhideWhenUsed/>
    <w:pPr>
      <w:ind w:left="850" w:right="0" w:firstLine="0"/>
      <w:spacing w:after="57"/>
    </w:pPr>
  </w:style>
  <w:style w:type="paragraph" w:styleId="185">
    <w:name w:val="toc 5"/>
    <w:basedOn w:val="601"/>
    <w:next w:val="601"/>
    <w:uiPriority w:val="39"/>
    <w:unhideWhenUsed/>
    <w:pPr>
      <w:ind w:left="1134" w:right="0" w:firstLine="0"/>
      <w:spacing w:after="57"/>
    </w:pPr>
  </w:style>
  <w:style w:type="paragraph" w:styleId="186">
    <w:name w:val="toc 6"/>
    <w:basedOn w:val="601"/>
    <w:next w:val="601"/>
    <w:uiPriority w:val="39"/>
    <w:unhideWhenUsed/>
    <w:pPr>
      <w:ind w:left="1417" w:right="0" w:firstLine="0"/>
      <w:spacing w:after="57"/>
    </w:pPr>
  </w:style>
  <w:style w:type="paragraph" w:styleId="187">
    <w:name w:val="toc 7"/>
    <w:basedOn w:val="601"/>
    <w:next w:val="601"/>
    <w:uiPriority w:val="39"/>
    <w:unhideWhenUsed/>
    <w:pPr>
      <w:ind w:left="1701" w:right="0" w:firstLine="0"/>
      <w:spacing w:after="57"/>
    </w:pPr>
  </w:style>
  <w:style w:type="paragraph" w:styleId="188">
    <w:name w:val="toc 8"/>
    <w:basedOn w:val="601"/>
    <w:next w:val="601"/>
    <w:uiPriority w:val="39"/>
    <w:unhideWhenUsed/>
    <w:pPr>
      <w:ind w:left="1984" w:right="0" w:firstLine="0"/>
      <w:spacing w:after="57"/>
    </w:pPr>
  </w:style>
  <w:style w:type="paragraph" w:styleId="189">
    <w:name w:val="toc 9"/>
    <w:basedOn w:val="601"/>
    <w:next w:val="601"/>
    <w:uiPriority w:val="39"/>
    <w:unhideWhenUsed/>
    <w:pPr>
      <w:ind w:left="2268" w:right="0" w:firstLine="0"/>
      <w:spacing w:after="57"/>
    </w:pPr>
  </w:style>
  <w:style w:type="paragraph" w:styleId="190">
    <w:name w:val="TOC Heading"/>
    <w:uiPriority w:val="39"/>
    <w:unhideWhenUsed/>
  </w:style>
  <w:style w:type="paragraph" w:styleId="191">
    <w:name w:val="table of figures"/>
    <w:basedOn w:val="601"/>
    <w:next w:val="601"/>
    <w:uiPriority w:val="99"/>
    <w:unhideWhenUsed/>
    <w:pPr>
      <w:spacing w:after="0" w:afterAutospacing="0"/>
    </w:pPr>
  </w:style>
  <w:style w:type="paragraph" w:styleId="601" w:default="1">
    <w:name w:val="Normal"/>
    <w:qFormat/>
  </w:style>
  <w:style w:type="table" w:styleId="602" w:default="1">
    <w:name w:val="Normal Table"/>
    <w:uiPriority w:val="99"/>
    <w:semiHidden/>
    <w:unhideWhenUsed/>
    <w:tblPr>
      <w:tblInd w:w="0" w:type="dxa"/>
      <w:tblCellMar>
        <w:left w:w="108" w:type="dxa"/>
        <w:top w:w="0" w:type="dxa"/>
        <w:right w:w="108" w:type="dxa"/>
        <w:bottom w:w="0" w:type="dxa"/>
      </w:tblCellMar>
    </w:tblPr>
  </w:style>
  <w:style w:type="numbering" w:styleId="603" w:default="1">
    <w:name w:val="No List"/>
    <w:uiPriority w:val="99"/>
    <w:semiHidden/>
    <w:unhideWhenUsed/>
  </w:style>
  <w:style w:type="paragraph" w:styleId="604">
    <w:name w:val="No Spacing"/>
    <w:basedOn w:val="601"/>
    <w:uiPriority w:val="1"/>
    <w:qFormat/>
    <w:pPr>
      <w:spacing w:after="0" w:line="240" w:lineRule="auto"/>
    </w:pPr>
  </w:style>
  <w:style w:type="paragraph" w:styleId="605">
    <w:name w:val="List Paragraph"/>
    <w:basedOn w:val="601"/>
    <w:uiPriority w:val="34"/>
    <w:qFormat/>
    <w:pPr>
      <w:contextualSpacing/>
      <w:ind w:left="720"/>
    </w:pPr>
  </w:style>
  <w:style w:type="character" w:styleId="610"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3.png"/><Relationship Id="rId12" Type="http://schemas.openxmlformats.org/officeDocument/2006/relationships/image" Target="media/image4.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ONLYOFFICE/7.3.0.184</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cp:revision>
  <dcterms:modified xsi:type="dcterms:W3CDTF">2025-01-09T14:41:49Z</dcterms:modified>
</cp:coreProperties>
</file>